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50774E26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062755" w:rsidRPr="00062755">
        <w:rPr>
          <w:b/>
          <w:noProof/>
          <w:sz w:val="24"/>
          <w:szCs w:val="24"/>
          <w:lang w:val="en-US"/>
        </w:rPr>
        <w:t>2312522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7CE07616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950074" w:rsidRPr="00950074">
        <w:rPr>
          <w:rFonts w:ascii="Arial" w:hAnsi="Arial" w:cs="Arial"/>
          <w:bCs/>
          <w:color w:val="000000"/>
          <w:lang w:val="en-US"/>
        </w:rPr>
        <w:t>Reply LS on monitoring of paging occasions for CG-SDT with HD-FDD RedCap</w:t>
      </w:r>
      <w:r w:rsidR="0049612C">
        <w:rPr>
          <w:rFonts w:ascii="Arial" w:hAnsi="Arial" w:cs="Arial"/>
          <w:bCs/>
          <w:color w:val="000000"/>
          <w:lang w:val="en-US"/>
        </w:rPr>
        <w:t xml:space="preserve"> </w:t>
      </w:r>
      <w:r w:rsidR="00950074" w:rsidRPr="00950074">
        <w:rPr>
          <w:rFonts w:ascii="Arial" w:hAnsi="Arial" w:cs="Arial"/>
          <w:bCs/>
          <w:color w:val="000000"/>
          <w:lang w:val="en-US"/>
        </w:rPr>
        <w:t>UEs</w:t>
      </w:r>
    </w:p>
    <w:p w14:paraId="6EDB2C0D" w14:textId="53200F34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  <w:hyperlink r:id="rId11" w:history="1">
        <w:r w:rsidR="009D165E" w:rsidRPr="009D165E">
          <w:rPr>
            <w:rStyle w:val="Hyperlink"/>
            <w:rFonts w:ascii="Arial" w:hAnsi="Arial" w:cs="Arial"/>
          </w:rPr>
          <w:t>R1-2304331</w:t>
        </w:r>
      </w:hyperlink>
      <w:r w:rsidR="009D165E">
        <w:rPr>
          <w:rFonts w:ascii="Arial" w:hAnsi="Arial" w:cs="Arial"/>
          <w:lang w:val="en-US"/>
        </w:rPr>
        <w:t xml:space="preserve"> (</w:t>
      </w:r>
      <w:r w:rsidR="009D165E" w:rsidRPr="009D165E">
        <w:rPr>
          <w:rFonts w:ascii="Arial" w:hAnsi="Arial" w:cs="Arial"/>
          <w:lang w:val="en-US"/>
        </w:rPr>
        <w:t>R2-2304562</w:t>
      </w:r>
      <w:r w:rsidR="009D165E">
        <w:rPr>
          <w:rFonts w:ascii="Arial" w:hAnsi="Arial" w:cs="Arial"/>
          <w:lang w:val="en-US"/>
        </w:rPr>
        <w:t>)</w:t>
      </w:r>
      <w:r w:rsidR="009D165E" w:rsidRPr="009D165E">
        <w:rPr>
          <w:rFonts w:ascii="Arial" w:hAnsi="Arial" w:cs="Arial"/>
          <w:lang w:val="en-US"/>
        </w:rPr>
        <w:t xml:space="preserve">, </w:t>
      </w:r>
      <w:hyperlink r:id="rId12" w:history="1">
        <w:r w:rsidR="009D165E" w:rsidRPr="009D165E">
          <w:rPr>
            <w:rStyle w:val="Hyperlink"/>
            <w:rFonts w:ascii="Arial" w:hAnsi="Arial" w:cs="Arial"/>
          </w:rPr>
          <w:t>R1-2308812</w:t>
        </w:r>
      </w:hyperlink>
      <w:r w:rsidR="009D165E">
        <w:rPr>
          <w:rFonts w:ascii="Arial" w:hAnsi="Arial" w:cs="Arial"/>
          <w:lang w:val="en-US"/>
        </w:rPr>
        <w:t xml:space="preserve"> (</w:t>
      </w:r>
      <w:r w:rsidR="009D165E" w:rsidRPr="009D165E">
        <w:rPr>
          <w:rFonts w:ascii="Arial" w:hAnsi="Arial" w:cs="Arial"/>
          <w:lang w:val="en-US"/>
        </w:rPr>
        <w:t>R4-2314464</w:t>
      </w:r>
      <w:r w:rsidR="009D165E">
        <w:rPr>
          <w:rFonts w:ascii="Arial" w:hAnsi="Arial" w:cs="Arial"/>
          <w:lang w:val="en-US"/>
        </w:rPr>
        <w:t>)</w:t>
      </w:r>
    </w:p>
    <w:p w14:paraId="6935EB2D" w14:textId="2EA86FE9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950074">
        <w:rPr>
          <w:rFonts w:ascii="Arial" w:hAnsi="Arial" w:cs="Arial"/>
          <w:lang w:val="en-US"/>
        </w:rPr>
        <w:t>7</w:t>
      </w:r>
    </w:p>
    <w:bookmarkEnd w:id="2"/>
    <w:bookmarkEnd w:id="3"/>
    <w:bookmarkEnd w:id="4"/>
    <w:p w14:paraId="548C124F" w14:textId="5E710A62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r w:rsidR="001E324B" w:rsidRPr="001E324B">
        <w:rPr>
          <w:rFonts w:ascii="Arial" w:hAnsi="Arial" w:cs="Arial"/>
          <w:lang w:val="en-US"/>
        </w:rPr>
        <w:t xml:space="preserve">NR_redcap-Core, </w:t>
      </w:r>
      <w:proofErr w:type="spellStart"/>
      <w:r w:rsidR="001E324B" w:rsidRPr="001E324B">
        <w:rPr>
          <w:rFonts w:ascii="Arial" w:hAnsi="Arial" w:cs="Arial"/>
          <w:lang w:val="en-US"/>
        </w:rPr>
        <w:t>NR_SmallData_INACTIVE</w:t>
      </w:r>
      <w:proofErr w:type="spellEnd"/>
      <w:r w:rsidR="001E324B" w:rsidRPr="001E324B">
        <w:rPr>
          <w:rFonts w:ascii="Arial" w:hAnsi="Arial" w:cs="Arial"/>
          <w:lang w:val="en-US"/>
        </w:rPr>
        <w:t>-Core</w:t>
      </w:r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12EDAAA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8B4840" w:rsidRPr="00062755">
        <w:rPr>
          <w:rFonts w:ascii="Arial" w:hAnsi="Arial" w:cs="Arial"/>
          <w:bCs/>
          <w:lang w:val="en-US"/>
        </w:rPr>
        <w:t>RAN1</w:t>
      </w:r>
    </w:p>
    <w:p w14:paraId="7C7FF8F0" w14:textId="185EB6C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  <w:r w:rsidR="0092195A">
        <w:rPr>
          <w:rFonts w:ascii="Arial" w:hAnsi="Arial" w:cs="Arial"/>
          <w:lang w:val="en-US"/>
        </w:rPr>
        <w:t>, RAN4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491E7B09" w14:textId="77777777" w:rsidR="006472F5" w:rsidRDefault="00651BEA" w:rsidP="0049612C">
      <w:pPr>
        <w:rPr>
          <w:rFonts w:ascii="Arial" w:hAnsi="Arial" w:cs="Arial"/>
          <w:lang w:val="en-US"/>
        </w:rPr>
      </w:pPr>
      <w:r w:rsidRPr="0049612C">
        <w:rPr>
          <w:rFonts w:ascii="Arial" w:hAnsi="Arial" w:cs="Arial"/>
          <w:lang w:val="en-US"/>
        </w:rPr>
        <w:t>RAN1</w:t>
      </w:r>
      <w:r w:rsidR="0096786E" w:rsidRPr="0049612C">
        <w:rPr>
          <w:rFonts w:ascii="Arial" w:hAnsi="Arial" w:cs="Arial"/>
          <w:lang w:val="en-US"/>
        </w:rPr>
        <w:t>#1</w:t>
      </w:r>
      <w:r w:rsidR="00F57960" w:rsidRPr="0049612C">
        <w:rPr>
          <w:rFonts w:ascii="Arial" w:hAnsi="Arial" w:cs="Arial"/>
          <w:lang w:val="en-US"/>
        </w:rPr>
        <w:t>15</w:t>
      </w:r>
      <w:r w:rsidRPr="0049612C">
        <w:rPr>
          <w:rFonts w:ascii="Arial" w:hAnsi="Arial" w:cs="Arial"/>
          <w:lang w:val="en-US"/>
        </w:rPr>
        <w:t xml:space="preserve"> discussed </w:t>
      </w:r>
      <w:r w:rsidR="0049612C">
        <w:rPr>
          <w:rFonts w:ascii="Arial" w:hAnsi="Arial" w:cs="Arial"/>
          <w:lang w:val="en-US"/>
        </w:rPr>
        <w:t xml:space="preserve">the LSs received from RAN2 and RAN4 on </w:t>
      </w:r>
      <w:r w:rsidR="0049612C" w:rsidRPr="0049612C">
        <w:rPr>
          <w:rFonts w:ascii="Arial" w:hAnsi="Arial" w:cs="Arial"/>
          <w:lang w:val="en-US"/>
        </w:rPr>
        <w:t>monitoring of paging occasions for CG-SDT with HD-FDD RedCap</w:t>
      </w:r>
      <w:r w:rsidR="0049612C">
        <w:rPr>
          <w:rFonts w:ascii="Arial" w:hAnsi="Arial" w:cs="Arial"/>
          <w:lang w:val="en-US"/>
        </w:rPr>
        <w:t xml:space="preserve"> UEs.</w:t>
      </w:r>
      <w:r w:rsidR="00F57960" w:rsidRPr="0049612C">
        <w:rPr>
          <w:rFonts w:ascii="Arial" w:hAnsi="Arial" w:cs="Arial"/>
          <w:lang w:val="en-US"/>
        </w:rPr>
        <w:t xml:space="preserve"> </w:t>
      </w:r>
      <w:r w:rsidRPr="0049612C">
        <w:rPr>
          <w:rFonts w:ascii="Arial" w:hAnsi="Arial" w:cs="Arial"/>
          <w:lang w:val="en-US"/>
        </w:rPr>
        <w:t xml:space="preserve">The discussion is captured </w:t>
      </w:r>
      <w:r w:rsidR="00C175C3">
        <w:rPr>
          <w:rFonts w:ascii="Arial" w:hAnsi="Arial" w:cs="Arial"/>
          <w:lang w:val="en-US"/>
        </w:rPr>
        <w:t xml:space="preserve">under Issue #1 </w:t>
      </w:r>
      <w:r w:rsidRPr="0049612C">
        <w:rPr>
          <w:rFonts w:ascii="Arial" w:hAnsi="Arial" w:cs="Arial"/>
          <w:lang w:val="en-US"/>
        </w:rPr>
        <w:t xml:space="preserve">in </w:t>
      </w:r>
      <w:hyperlink r:id="rId14" w:history="1">
        <w:r w:rsidR="00CB43F1">
          <w:rPr>
            <w:rStyle w:val="Hyperlink"/>
            <w:rFonts w:ascii="Arial" w:hAnsi="Arial" w:cs="Arial"/>
            <w:lang w:val="en-US"/>
          </w:rPr>
          <w:t>R1-2312278</w:t>
        </w:r>
      </w:hyperlink>
      <w:r w:rsidRPr="0049612C">
        <w:rPr>
          <w:rFonts w:ascii="Arial" w:hAnsi="Arial" w:cs="Arial"/>
          <w:lang w:val="en-US"/>
        </w:rPr>
        <w:t>.</w:t>
      </w:r>
    </w:p>
    <w:p w14:paraId="1E003E48" w14:textId="15967BF7" w:rsidR="003D295F" w:rsidRPr="0049612C" w:rsidRDefault="0096786E" w:rsidP="0049612C">
      <w:pPr>
        <w:rPr>
          <w:rFonts w:ascii="Arial" w:hAnsi="Arial" w:cs="Arial"/>
          <w:lang w:val="en-US"/>
        </w:rPr>
      </w:pPr>
      <w:r w:rsidRPr="0049612C">
        <w:rPr>
          <w:rFonts w:ascii="Arial" w:hAnsi="Arial" w:cs="Arial"/>
          <w:lang w:val="en-US"/>
        </w:rPr>
        <w:t>Following the discussion, RAN1</w:t>
      </w:r>
      <w:r w:rsidR="00C175C3">
        <w:rPr>
          <w:rFonts w:ascii="Arial" w:hAnsi="Arial" w:cs="Arial"/>
          <w:lang w:val="en-US"/>
        </w:rPr>
        <w:t xml:space="preserve"> made the following agreements</w:t>
      </w:r>
      <w:r w:rsidR="00A45799">
        <w:rPr>
          <w:rFonts w:ascii="Arial" w:hAnsi="Arial" w:cs="Arial"/>
          <w:lang w:val="en-US"/>
        </w:rPr>
        <w:t xml:space="preserve"> (where HD-UE means HD-FDD RedCap UE)</w:t>
      </w:r>
      <w:r w:rsidR="00C175C3">
        <w:rPr>
          <w:rFonts w:ascii="Arial" w:hAnsi="Arial" w:cs="Arial"/>
          <w:lang w:val="en-US"/>
        </w:rPr>
        <w:t>:</w:t>
      </w:r>
    </w:p>
    <w:p w14:paraId="0F204334" w14:textId="6EDA493C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RAN1 confirms RAN2’s understanding that there is no need to specify restrictions on gNB configuration to avoid partial overlap between PO and CG-SDT transmission for HD-</w:t>
      </w:r>
      <w:r>
        <w:rPr>
          <w:rFonts w:ascii="Arial" w:hAnsi="Arial" w:cs="Arial"/>
          <w:lang w:val="en-US"/>
        </w:rPr>
        <w:t>UE</w:t>
      </w:r>
      <w:r w:rsidRPr="00B61A47">
        <w:rPr>
          <w:rFonts w:ascii="Arial" w:hAnsi="Arial" w:cs="Arial"/>
          <w:lang w:val="en-US"/>
        </w:rPr>
        <w:t>.</w:t>
      </w:r>
    </w:p>
    <w:p w14:paraId="63BEE673" w14:textId="4C24C335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RAN1 confirms that there is no need to specify RAN4 requirements for the case with full overlap between PO and CG-SDT transmission within the SI modification period for HD</w:t>
      </w:r>
      <w:r>
        <w:rPr>
          <w:rFonts w:ascii="Arial" w:hAnsi="Arial" w:cs="Arial"/>
          <w:lang w:val="en-US"/>
        </w:rPr>
        <w:t>-UE</w:t>
      </w:r>
      <w:r w:rsidRPr="00B61A47">
        <w:rPr>
          <w:rFonts w:ascii="Arial" w:hAnsi="Arial" w:cs="Arial"/>
          <w:lang w:val="en-US"/>
        </w:rPr>
        <w:t>.</w:t>
      </w:r>
    </w:p>
    <w:p w14:paraId="2D9BAB56" w14:textId="77777777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This means that it is up to gNB responsibility to leave at least one PO for SI update monitoring in modification window.</w:t>
      </w:r>
    </w:p>
    <w:p w14:paraId="4E328038" w14:textId="15C9C756" w:rsidR="004154D9" w:rsidRPr="004154D9" w:rsidRDefault="004154D9" w:rsidP="004154D9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4154D9">
        <w:rPr>
          <w:rFonts w:ascii="Arial" w:hAnsi="Arial" w:cs="Arial"/>
          <w:lang w:val="en-US"/>
        </w:rPr>
        <w:t>Adopt the following TP for 38.213 clause 17.2: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151"/>
      </w:tblGrid>
      <w:tr w:rsidR="004154D9" w14:paraId="1C084213" w14:textId="77777777" w:rsidTr="004154D9">
        <w:tc>
          <w:tcPr>
            <w:tcW w:w="9151" w:type="dxa"/>
          </w:tcPr>
          <w:p w14:paraId="2416DC25" w14:textId="497F9CD2" w:rsidR="004154D9" w:rsidRPr="004154D9" w:rsidRDefault="004154D9" w:rsidP="004154D9">
            <w:pPr>
              <w:rPr>
                <w:bCs/>
                <w:szCs w:val="22"/>
                <w:lang w:val="en-US"/>
              </w:rPr>
            </w:pPr>
            <w:r w:rsidRPr="00B82A57">
              <w:rPr>
                <w:rFonts w:eastAsia="Times New Roman"/>
                <w:lang w:val="en-US" w:eastAsia="zh-CN"/>
              </w:rPr>
              <w:t>A HD-UE does not expect to receive both dedicated higher layer parameters configuring transmission in a set of symbols and dedicated higher layer parameters configuring reception in the set of symbols. A HD-UE does not expect to receive both a Type-0/0A/1/2-PDCCH CSS set configuration for PDCCH reception in a set of symbols and dedicated higher layer parameters configuring transmission in the set of symbols</w:t>
            </w:r>
            <w:r w:rsidRPr="00B82A57">
              <w:rPr>
                <w:rFonts w:eastAsia="Times New Roman"/>
                <w:color w:val="C00000"/>
                <w:u w:val="single"/>
                <w:lang w:val="en-US" w:eastAsia="zh-CN"/>
              </w:rPr>
              <w:t>, except Type-2-PDCCH CSS set configuration for PDCCH reception in a set of symbols and configured-grant based PUSCH transmission as described in clause 19.1 in the set of symbols for which case the UE follows the procedure as in clause 5.1B.2.6 in [10, TS 38.133]</w:t>
            </w:r>
            <w:r w:rsidRPr="00B82A57">
              <w:rPr>
                <w:rFonts w:eastAsia="Times New Roman"/>
                <w:lang w:val="en-US" w:eastAsia="zh-CN"/>
              </w:rPr>
              <w:t>.</w:t>
            </w:r>
            <w:r w:rsidRPr="006C59CD">
              <w:rPr>
                <w:rFonts w:eastAsia="Times New Roman"/>
                <w:color w:val="C00000"/>
                <w:u w:val="single"/>
                <w:lang w:val="en-US" w:eastAsia="zh-CN"/>
              </w:rPr>
              <w:t xml:space="preserve"> The UE expects to be configured with a Type-2-PDCCH CSS set configuration for PDCCH reception such that there is at least one </w:t>
            </w:r>
            <w:r w:rsidRPr="006C59CD">
              <w:rPr>
                <w:color w:val="C00000"/>
                <w:u w:val="single"/>
                <w:lang w:eastAsia="zh-CN"/>
              </w:rPr>
              <w:t xml:space="preserve">paging occasion that does not overlap with </w:t>
            </w:r>
            <w:r w:rsidRPr="006C59CD">
              <w:rPr>
                <w:rFonts w:eastAsia="Times New Roman"/>
                <w:color w:val="C00000"/>
                <w:u w:val="single"/>
                <w:lang w:val="en-US" w:eastAsia="zh-CN"/>
              </w:rPr>
              <w:t xml:space="preserve">configured-grant based PUSCH transmission as described in clause 19.1 </w:t>
            </w:r>
            <w:r w:rsidRPr="006C59CD">
              <w:rPr>
                <w:color w:val="C00000"/>
                <w:u w:val="single"/>
                <w:lang w:eastAsia="ja-JP"/>
              </w:rPr>
              <w:t>per SI modification period.</w:t>
            </w:r>
          </w:p>
        </w:tc>
      </w:tr>
    </w:tbl>
    <w:p w14:paraId="657857C6" w14:textId="3FE7A69B" w:rsidR="00F72695" w:rsidRDefault="00F72695" w:rsidP="003D295F">
      <w:pPr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35F1D16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="00924801">
        <w:rPr>
          <w:rFonts w:ascii="Arial" w:hAnsi="Arial" w:cs="Arial"/>
          <w:b/>
          <w:lang w:val="en-US"/>
        </w:rPr>
        <w:t xml:space="preserve"> and RAN4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1EC83E9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>RAN1 respectfully requests RAN2</w:t>
      </w:r>
      <w:r w:rsidR="00924801">
        <w:rPr>
          <w:rFonts w:ascii="Arial" w:hAnsi="Arial" w:cs="Arial"/>
          <w:lang w:val="en-US"/>
        </w:rPr>
        <w:t xml:space="preserve"> and RAN4</w:t>
      </w:r>
      <w:r w:rsidR="008D7E73">
        <w:rPr>
          <w:rFonts w:ascii="Arial" w:hAnsi="Arial" w:cs="Arial"/>
          <w:lang w:val="en-US"/>
        </w:rPr>
        <w:t xml:space="preserve">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5E4C5371" w:rsidR="00226A83" w:rsidRPr="00881104" w:rsidRDefault="00226A83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ab/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3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5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 w:numId="29" w16cid:durableId="987631509">
    <w:abstractNumId w:val="22"/>
  </w:num>
  <w:num w:numId="30" w16cid:durableId="210252916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62755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648A6"/>
    <w:rsid w:val="001737DE"/>
    <w:rsid w:val="00175AA7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1E324B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2F7EE1"/>
    <w:rsid w:val="003064AF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13BC1"/>
    <w:rsid w:val="004154D9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9612C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2F5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2195A"/>
    <w:rsid w:val="00924801"/>
    <w:rsid w:val="00930865"/>
    <w:rsid w:val="00947CC3"/>
    <w:rsid w:val="00950074"/>
    <w:rsid w:val="009507A3"/>
    <w:rsid w:val="00952891"/>
    <w:rsid w:val="009543B4"/>
    <w:rsid w:val="0095782C"/>
    <w:rsid w:val="0096786E"/>
    <w:rsid w:val="009877F9"/>
    <w:rsid w:val="0099581A"/>
    <w:rsid w:val="0099764C"/>
    <w:rsid w:val="009C0B84"/>
    <w:rsid w:val="009D165E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799"/>
    <w:rsid w:val="00A45DA0"/>
    <w:rsid w:val="00A60273"/>
    <w:rsid w:val="00A60A1C"/>
    <w:rsid w:val="00A73FCF"/>
    <w:rsid w:val="00A7452E"/>
    <w:rsid w:val="00A8069C"/>
    <w:rsid w:val="00A81A84"/>
    <w:rsid w:val="00A8331B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0C82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61A47"/>
    <w:rsid w:val="00B7281A"/>
    <w:rsid w:val="00B72C6F"/>
    <w:rsid w:val="00B73E78"/>
    <w:rsid w:val="00B76DB7"/>
    <w:rsid w:val="00B8402A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175C3"/>
    <w:rsid w:val="00C43F20"/>
    <w:rsid w:val="00C473C9"/>
    <w:rsid w:val="00C55026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43F1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9723B"/>
    <w:rsid w:val="00FA4382"/>
    <w:rsid w:val="00FB3460"/>
    <w:rsid w:val="00FB5817"/>
    <w:rsid w:val="00FC0916"/>
    <w:rsid w:val="00FC4779"/>
    <w:rsid w:val="00FE2DAC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08812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3/Docs/R1-2304331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1_RL1/TSGR1_115/Docs/R1-231227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400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93</cp:revision>
  <cp:lastPrinted>2002-04-23T16:10:00Z</cp:lastPrinted>
  <dcterms:created xsi:type="dcterms:W3CDTF">2023-08-24T23:38:00Z</dcterms:created>
  <dcterms:modified xsi:type="dcterms:W3CDTF">2023-11-17T16:19:00Z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